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EVP Build Sheet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single page to construct one Early Value Proposition from pain through proof.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F59E0B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59E0B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F59E0B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 EVP is not a tagline. It is the smallest unit of value that a defined buyer at a defined awareness level would pay attention to. Fill this sheet in order — skipping the 'current alternatives' block is the single most common reason EVPs read as self-absorbed. The awareness level framing borrows from Eugene Schwartz's Breakthrough Advertising (1966); if you haven't read chapter two, read it before shipping copy.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Problem statement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State the problem in the buyer's words. Not yours. A good problem statement reads like something the buyer would say on a peer call, not something you'd say in a pitch deck.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The problem (one sentence)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One sentence. Buyer's voice. Specific enough to be wrong.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Series-B SaaS GTM leaders are pouring paid spend into channels their best accounts never see, because attribution stops at the form fill.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Who carries it (role + stage)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Role, company stage, ACV band. Vague answers = vague EVP.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VP Marketing at 80-180 person B2B SaaS, 12-24 months post Series B, ACV $25K-$80K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Awareness level (Schwartz)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Unaware / problem-aware / solution-aware / product-aware / most-aware.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Problem-aware — they feel the pain, they cannot yet name the cause.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What breaks without it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cost of inaction. Name what specifically falls apart in the next quarter if the buyer does nothing. Loss framing beats gain framing by ~2.25x (Kahneman &amp; Tversky, 1979) — use that.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Quantified downside in next quarter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What specifically breaks, by when, measured how?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If paid spend keeps missing the buying committee, they miss H2 pipeline target by 28%, trigger a spend-cut review, and lose board confidence heading into the Series C conversation.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Personal downside for the buyer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Make the political/career cost explicit. People buy to avoid pain to themselves first.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The VP either owns the pipeline miss or argues they were given the wrong attribution model. Either conversation costs them credibility.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Current alternatives + why they fall short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List every way the buyer manages this today — competitors, in-house, agencies, DIY, do-nothing. Then tell me why each one underperforms, in the buyer's words. This block is where most EVPs fail.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Alternative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it's good at (buyer POV)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 it falls short (buyer POV)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EXAMPLE — Hire another demand gen manager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Feels like direct action. Board-friendly investment.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6-month ramp. Doesn't fix the underlying measurement problem.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EXAMPLE — Switch agencies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Short-term motion. New QBR energy.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Same service model. Different logo. 90-day honeymoon then same churn.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EXAMPLE — Do nothing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Zero political cost this quarter.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Next quarter's miss is now this quarter's problem plus 90 more days of spend.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Our approach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Not a feature list. The mechanism — the thing we do differently that is causally tied to the outcome the buyer wants.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Mechanism (one sentence, verb-led)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State the mechanism. Not what it produces — what it does.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We embed a demand operator inside your product-GTM cadence so attribution is continuous, not a monthly artifact.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What the buyer experiences in the first 14 days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Concrete experiential moments in first two weeks. No vaporware.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Shared Slack channel, weekly operator review, a living account intelligence doc replacing monthly QBR decks.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The single 'if true' claim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One claim that, if the buyer believed it, would cause them to act. Everything else in the EVP exists to make this claim credible.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The claim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One sentence, falsifiable, specific population.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Series-B B2B SaaS teams who embed a GTM operator inside their product cadence hit pipeline targets 43% more often than teams who outsource to agencies.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Why it's true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The causal reason in plain language. Short.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Because attribution decisions get made at the product cadence speed — weekly — and agencies ship monthly reports that lag the decisions they inform.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Proof assets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What you'll cite when the buyer pushes back. Proof beats persuasion. No fake testimonials, no cherry-picked metrics — if the claim can't survive scrutiny, edit the claim.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Best case study (stage + shape)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One specific, named, verifiable example. Or 'none yet' and fix that first.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Company X, Series B SaaS, $8M ARR — pipeline conversion improved 2.3x in 90 days after embedding operator + killing agency retainer.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Supporting data / citation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Stat + source. Verify every number independently before shipping.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Internal data from 14 Series-B SaaS engagements, 2024-2025. Available as anonymized benchmark on request.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Credential anchor (if relevant)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Personal or firm-level credibility tied specifically to this problem.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Jay Mount has operated GTM at 3 Series-B→C SaaS companies before moving into consulting.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F59E0B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EVP Build Sheet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F59E0B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F59E0B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F59E0B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EVP Build Sheet</dc:title>
  <dc:creator>Jay Mount Consulting</dc:creator>
  <dc:description>A single page to construct one Early Value Proposition from pain through proof.</dc:description>
  <cp:lastModifiedBy>Un-named</cp:lastModifiedBy>
  <cp:revision>1</cp:revision>
  <dcterms:created xsi:type="dcterms:W3CDTF">2026-04-20T03:31:59.283Z</dcterms:created>
  <dcterms:modified xsi:type="dcterms:W3CDTF">2026-04-20T03:31:59.283Z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