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Intent-to-SLA Router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routing table mapping signal intensity to response SLA, channel, and owner.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3B82F6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3B82F6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3B82F6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Intent signals without SLAs are noise. The highest-intent signal you ignore for 72 hours is worth less than a medium-intent signal you act on in 30 minutes. This router forces three commitments: the intensity tier, the channel, and the owner. Fill one row per signal type. If a cell is blank, the signal is not yet operational — treat it as research, not intent.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Intensity definitions (calibrate first)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Before routing, align on what intensity means for this motion. These defaults assume B2B mid-market; tighten for enterprise and loosen for velocity.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looks like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Response SLA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Typical channel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HIGH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Multiple intent events in &lt;7 days (e.g., pricing + demo-request visits + competitor search)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≤30 minutes during business hours; ≤2 hours outside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Direct phone + LinkedIn + email, in that order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MEDIUM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Single strong signal (e.g., named-account visits pricing + spends &gt;3 min)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≤4 business hours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LinkedIn + personalized email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LOW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Ambient signals (e.g., category-keyword search, newsletter re-engagement)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Within 3 business days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Nurture sequence only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NOISE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Below threshold (e.g., single category-keyword view from IP only)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No response — log for trend analysis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Analytics only</w:t>
            </w:r>
          </w:p>
        </w:tc>
      </w:tr>
    </w:tbl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Routing table — one row per signal type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Fill the routing for every signal you actually ingest. If a signal fires and the owner column is empty, the signal dies on arrival.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blHeader/>
        </w:trP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 type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Intensity tier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Response SLA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channel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 (named)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3B8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Escalation path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Pricing page visit + demo form opened (no submit)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HIGH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30 min / business hours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Phone, then LinkedIn, then email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Inbound AE on rotation — Sarah K. (current)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If no response in 2 hours: AE Manager ping; 24h: sequence fallback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Named-account multi-page visit &gt;5 min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MEDIUM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4 business hours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LinkedIn DM + personalized email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AE for that territory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24h: drop to nurture + BDR sweep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Category-keyword search (AI-search attributed)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LOW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 business days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Nurture-sequence enroll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Marketing ops — automated</w:t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No escalation — trend-log only</w:t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3B82F6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Weekly accountability review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 signal router with no audit is a spreadsheet. Review weekly. If SLAs aren't being met, either the signal isn't truly high-intent or the owner is overloaded. Both are fixable — but only if named.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SLA adherence rate last week (%)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Track by tier. &lt;80% on HIGH = the routing is broken.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High: 82% · Medium: 71% · Low: 94%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Signals that fired but didn't route (count + cause)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Unrouted signals are lost pipeline. Count and fix causes.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7 signals — 4 owner unassigned over weekend, 3 signal-definition ambiguity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3B82F6"/>
          <w:sz w:val="20"/>
          <w:szCs w:val="20"/>
        </w:rPr>
        <w:t xml:space="preserve">Tier changes committed this week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Tiers should evolve with evidence. Document changes.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Moved 'AI-search attributed keyword' from LOW to MEDIUM based on last 4 weeks of meeting-book data.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3B82F6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Intent-to-SLA Router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3B82F6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3B82F6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3B82F6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Intent-to-SLA Router</dc:title>
  <dc:creator>Jay Mount Consulting</dc:creator>
  <dc:description>A routing table mapping signal intensity to response SLA, channel, and owner.</dc:description>
  <cp:lastModifiedBy>Un-named</cp:lastModifiedBy>
  <cp:revision>1</cp:revision>
  <dcterms:created xsi:type="dcterms:W3CDTF">2026-04-20T03:32:07.207Z</dcterms:created>
  <dcterms:modified xsi:type="dcterms:W3CDTF">2026-04-20T03:32:07.207Z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