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Experimentation Learning Log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One experiment per row — hypothesis, test, sample, confidence, ship/kill, follow-up.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EF4444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F4444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EF4444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Most CRO programs produce activity, not knowledge. This log is the discipline that converts experiments into compounding insight. One row per test. Sample size and confidence are non-negotiable — every row without them is a row of vibes. When tests ship or die, a follow-up test is required — a closed experiment that produced no next test is a dead end.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Operating rules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Four rules that distinguish this log from a list of things you did. Break any one and the log becomes performance theater.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One hypothesis per row. If the hypothesis has an 'and' in it, you have two rows.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Declare sample size BEFORE running. Post-hoc sample sizing is how you fool yourself.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Minimum confidence = 95% (two-tail). If you can't reach it, the test ran short — mark it inconclusive, not 'trending.'</w:t>
      </w:r>
    </w:p>
    <w:p>
      <w:pPr>
        <w:pStyle w:val="ListParagraph"/>
        <w:numPr>
          <w:ilvl w:val="0"/>
          <w:numId w:val="2"/>
        </w:numPr>
        <w:spacing w:after="40" w:before="40" w:line="30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Every shipped or killed test spawns a follow-up test within 2 weeks. No follow-up = no loop.</w:t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Experiment log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One row per experiment. Pricing page, signup flow, nurture email, checkout — anything with a measurable conversion step. Use new rows for re-tests; never overwrite history.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rPr>
          <w:tblHeader/>
        </w:trP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Hypothesis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Surface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Baseline metric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Variant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Sample size target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Confidence reached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Learning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Shipped decision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Follow-up test</w:t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EX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Removing nav from pricing page raises click-to-trial by 15%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Pricing page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3.2% click-to-trial (90-day baseline)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No-nav variant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18,000 sessions/arm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97.4%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Lift was 11% — real, smaller than expected. Most of lift was mobile.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Ship to mobile only; retest desktop with different variant</w:t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Test desktop with simplified nav (not removed) — start wk 3</w:t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  <w:tc>
          <w:tcPr>
            <w:tcW w:type="dxa" w:w="9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Quarterly synthesis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Every 90 days, answer two questions. If a quarter passes without synthesis, the log is turning into a diary. Real learning loops produce principles, not entries.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3 principles now confirmed (with the rows that confirm them)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Confirmed principles. Each must cite ≥2 row numbers for defensibility.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1. 'Mobile nav removal wins, desktop nav removal breaks trust.' (rows 3, 7, 11)
2. 'Social proof in the CTA row outperforms social proof in a separate section.' (rows 5, 9)
3. 'Testimonial length has non-monotonic effect — 40-60 words wins; shorter or longer loses.' (rows 12, 14)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3 hypotheses now disproven (with the rows that killed them)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Killed hypotheses are valuable. Credit the rows that did the killing.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1. 'Always-above-the-fold CTAs outperform below-the-fold' — disproven for enterprise pricing pages (rows 2, 8).
2. 'Video hero always beats static hero' — disproven for dense-copy pages (row 6).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EF4444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Experimentation Learning Log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EF4444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EF4444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EF4444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Experimentation Learning Log</dc:title>
  <dc:creator>Jay Mount Consulting</dc:creator>
  <dc:description>One experiment per row — hypothesis, test, sample, confidence, ship/kill, follow-up.</dc:description>
  <cp:lastModifiedBy>Un-named</cp:lastModifiedBy>
  <cp:revision>1</cp:revision>
  <dcterms:created xsi:type="dcterms:W3CDTF">2026-04-20T03:32:16.409Z</dcterms:created>
  <dcterms:modified xsi:type="dcterms:W3CDTF">2026-04-20T03:32:16.409Z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