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 w:before="120"/>
        <w:jc w:val="left"/>
      </w:pPr>
      <w:r>
        <w:rPr>
          <w:rFonts w:ascii="Arial" w:cs="Arial" w:eastAsia="Arial" w:hAnsi="Arial"/>
          <w:b/>
          <w:bCs/>
          <w:color w:val="0C0C14"/>
          <w:sz w:val="48"/>
          <w:szCs w:val="48"/>
        </w:rPr>
        <w:t xml:space="preserve">NRR Quarterly Dashboard Spec</w:t>
      </w:r>
    </w:p>
    <w:p>
      <w:pPr>
        <w:spacing w:after="120" w:before="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Net Revenue Retention review — cohort definition, metric stack, cadence, thresholds, account triggers.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Course: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MIFGE Template Pack</w:t>
      </w:r>
    </w:p>
    <w:tbl>
      <w:tblPr>
        <w:tblW w:type="auto" w:w="100"/>
        <w:tblBorders>
          <w:top w:val="none" w:color="FFFFFF" w:sz="0"/>
          <w:left w:val="single" w:color="EF4444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F4444" w:sz="24"/>
              <w:bottom w:val="none" w:color="FFFFFF" w:sz="0"/>
              <w:right w:val="none" w:color="FFFFFF" w:sz="0"/>
            </w:tcBorders>
            <w:shd w:fill="F1F3F5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smallCaps w:val="false"/>
                <w:color w:val="EF4444"/>
                <w:sz w:val="18"/>
                <w:szCs w:val="18"/>
              </w:rPr>
              <w:t xml:space="preserve">HOW TO USE</w:t>
            </w:r>
          </w:p>
          <w:p>
            <w:pPr>
              <w:spacing w:line="32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NRR lives or dies by how cleanly the underlying cohort is defined. A fuzzy cohort produces headline NRR numbers that move with mix, not with retention — the classic SaaS reporting trap. This spec is the operating document for the quarterly NRR review. Follow the SaaS-metrics conventions (gross retention, net retention, logo retention reported separately; cohort by month-of-signup; dollars in USD-constant). Treat the thresholds as triggers, not fire drills.</w:t>
            </w:r>
          </w:p>
        </w:tc>
      </w:tr>
    </w:tbl>
    <w:p>
      <w:pPr>
        <w:spacing w:before="120"/>
      </w:pPr>
      <w:r>
        <w:rPr>
          <w:sz w:val="12"/>
          <w:szCs w:val="12"/>
        </w:rPr>
        <w:t xml:space="preserve"/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Cohort definition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Three questions. Answer all three in writing. Answers change = history changes = retention math becomes unauditable.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Cohort boundary (by what and when)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Specific rule. Unambiguous. Documented with effective date.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Cohort = customers first paying-invoice dated in month M, grouped quarterly. Re-signed logos after ≥90-day churn gap counted as new cohort.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Currency + FX policy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Currency + FX treatment. Non-trivial at &gt;10% international revenue.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USD, constant at beginning-of-quarter rate. FX restated only at annual close; quarterly dashboard locked to BoQ rates.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Exclusions (with rationale)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Document exclusions. Exclusions hidden = trust lost at first audit.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Excluded: pilots &lt;$5K ARR, internal-use accounts, strategic partnerships (separate line). Included in footnote, not in the headline.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Metrics tracked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Report gross retention, net retention, and logo retention separately. Reporting only 'NRR' is the most common self-delusion in SaaS finance.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 it matters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Gross dollar retention (GDR)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1 − (churned $ + downgrades $) ÷ starting $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≥90% (enterprise SaaS) · ≥80% (SMB SaaS)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True product-retention signal; doesn't mask churn with expansion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Net revenue retention (NRR)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(starting $ − churn − downgrades + expansion) ÷ starting $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≥115% (enterprise) · ≥105% (SMB)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Compounding indicator; valuation-relevant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Logo retention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(starting logos − churned logos) ÷ starting logos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≥92% (enterprise) · ≥82% (SMB)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Customer-count signal; orthogonal to dollar retention</w:t>
            </w:r>
          </w:p>
        </w:tc>
      </w:tr>
      <w:tr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Cohort NRR (by quarter)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NRR calculated per signup-cohort, reported in waterfall format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Cohort-specific; pattern matters more than point value</w:t>
            </w:r>
          </w:p>
        </w:tc>
        <w:tc>
          <w:tcPr>
            <w:tcW w:type="dxa" w:w="234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Reveals whether retention is improving or the mix is</w:t>
            </w:r>
          </w:p>
        </w:tc>
      </w:tr>
    </w:tbl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Review cadence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Quarterly, 90 minutes, first Monday after quarter-close. Attendees: CRO, VP CS, RevOps lead, CFO observer. Miss the meeting = miss the quarter's decisions.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Pre-read requirement (48 hours before meeting)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What RevOps ships 48 hours ahead. No pre-read = meeting cancelled.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RevOps publishes: GDR/NRR/logo waterfall by cohort · top-10 expansion opportunities · top-10 churn risks with reason codes · prior-quarter decisions status.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In-meeting agenda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Time-boxed agenda. No section runs long without explicit trade.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15m: GDR/NRR/logo delta review · 20m: churn cohort deep-dive (why) · 20m: expansion pipeline (where) · 20m: commitments for next quarter · 15m: risks + escalations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Action thresholds (triggers, not targets)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Three thresholds. Cross any threshold and a specific playbook fires — no debate. The point of a trigger is that it removes decision latency when you have least capacity for it.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40"/>
          <w:bottom w:type="dxa" w:w="100"/>
          <w:right w:type="dxa" w:w="14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Threshold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Trigger level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F444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Playbook that fires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Cohort GDR &lt;80% for 2 consecutive quarters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Red — CS intervention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Mandatory root-cause: product, segment, or onboarding? CS lead owns; report at next QBR.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NRR &lt;100% for 1 quarter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Yellow — watchlist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8F9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Named account review of top-20 downgrades. Expansion-plan trigger.</w:t>
            </w:r>
          </w:p>
        </w:tc>
      </w:tr>
      <w:tr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Logo retention drops &gt;3pts QoQ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Red — exec escalation</w:t>
            </w:r>
          </w:p>
        </w:tc>
        <w:tc>
          <w:tcPr>
            <w:tcW w:type="dxa" w:w="312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CEO pre-read for next board. Churn-reason coding audited in the week.</w:t>
            </w:r>
          </w:p>
        </w:tc>
      </w:tr>
    </w:tbl>
    <w:p>
      <w:pPr>
        <w:pStyle w:val="Heading1"/>
        <w:pBdr>
          <w:bottom w:val="single" w:color="EF4444" w:sz="12" w:space="4"/>
        </w:pBdr>
        <w:spacing w:after="80" w:before="360"/>
      </w:pPr>
      <w:r>
        <w:rPr>
          <w:rFonts w:ascii="Arial" w:cs="Arial" w:eastAsia="Arial" w:hAnsi="Arial"/>
          <w:b/>
          <w:bCs/>
          <w:color w:val="0C0C14"/>
          <w:sz w:val="32"/>
          <w:szCs w:val="32"/>
        </w:rPr>
        <w:t xml:space="preserve">Account-plan triggers</w:t>
      </w:r>
    </w:p>
    <w:p>
      <w:pPr>
        <w:spacing w:after="160" w:before="80" w:line="3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Account plans exist to be triggered by signal, not filed in a drawer. Specify the signals that auto-open or auto-close an account plan — this is where CS goes from reactive to operational.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Auto-open signals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List signals that force an account plan to be opened. RevOps automates the fire.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• Contract value &gt;$100K AND NPS ≤6 in last survey
• Usage decline &gt;30% for 30 days
• Champion leaves the account (LinkedIn-verified)
• 2+ support escalations in a 14-day window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Auto-close signals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Closure signals. A plan that never closes is a plan that gets ignored.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• Renewal signed + usage stable for 90 days
• Expansion closed and 60-day post-expansion NPS ≥8
• No risk signals for 2 consecutive quarters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p>
      <w:pPr>
        <w:spacing w:after="40" w:before="200"/>
      </w:pPr>
      <w:r>
        <w:rPr>
          <w:rFonts w:ascii="Arial" w:cs="Arial" w:eastAsia="Arial" w:hAnsi="Arial"/>
          <w:b/>
          <w:bCs/>
          <w:color w:val="EF4444"/>
          <w:sz w:val="20"/>
          <w:szCs w:val="20"/>
        </w:rPr>
        <w:t xml:space="preserve">Escalation path (who owns what at each tier)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Named escalation. Unnamed escalation = no escalation.</w:t>
      </w:r>
    </w:p>
    <w:tbl>
      <w:tblPr>
        <w:tblW w:type="auto" w:w="100"/>
        <w:tblBorders>
          <w:top w:val="single" w:color="D1D5DB" w:sz="6"/>
          <w:left w:val="single" w:color="D1D5DB" w:sz="6"/>
          <w:bottom w:val="single" w:color="D1D5DB" w:sz="6"/>
          <w:right w:val="single" w:color="D1D5DB" w:sz="6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tcBorders>
              <w:top w:val="single" w:color="D1D5DB" w:sz="6"/>
              <w:left w:val="single" w:color="D1D5DB" w:sz="6"/>
              <w:bottom w:val="single" w:color="D1D5DB" w:sz="6"/>
              <w:right w:val="single" w:color="D1D5DB" w:sz="6"/>
            </w:tcBorders>
            <w:shd w:fill="FFFFF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e.g., CSM: opens plan, owns day-to-day
CS Lead: weekly review; escalates to CRO if 2 plans open on same segment
CRO: reviews at monthly cadence; loops CEO if &gt;3 accounts in red simultaneously</w:t>
            </w:r>
          </w:p>
          <w:p>
            <w:r>
              <w:rPr>
                <w:sz w:val="20"/>
                <w:szCs w:val="20"/>
              </w:rPr>
              <w:t xml:space="preserve"/>
            </w:r>
          </w:p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60"/>
      </w:pPr>
      <w:r>
        <w:rPr>
          <w:sz w:val="8"/>
          <w:szCs w:val="8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60"/>
      </w:tabs>
    </w:pPr>
    <w:r>
      <w:rPr>
        <w:rFonts w:ascii="Arial" w:cs="Arial" w:eastAsia="Arial" w:hAnsi="Arial"/>
        <w:color w:val="6B7280"/>
        <w:sz w:val="16"/>
        <w:szCs w:val="16"/>
      </w:rPr>
      <w:t xml:space="preserve">jaymount.com</w:t>
    </w:r>
    <w:r>
      <w:rPr>
        <w:rFonts w:ascii="Arial" w:cs="Arial" w:eastAsia="Arial" w:hAnsi="Arial"/>
        <w:color w:val="6B7280"/>
        <w:sz w:val="16"/>
        <w:szCs w:val="16"/>
      </w:rPr>
      <w:t xml:space="preserve">	MIFGE Template Pack  ·  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6"/>
        <w:szCs w:val="16"/>
      </w:rPr>
      <w:t xml:space="preserve"> of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auto" w:w="100"/>
      <w:tblBorders>
        <w:top w:val="none" w:color="FFFFFF" w:sz="0"/>
        <w:left w:val="none" w:color="FFFFFF" w:sz="0"/>
        <w:bottom w:val="single" w:color="EF4444" w:sz="18"/>
        <w:right w:val="none" w:color="FFFFFF" w:sz="0"/>
        <w:insideH w:val="none" w:color="FFFFFF" w:sz="0"/>
        <w:insideV w:val="none" w:color="FFFFFF" w:sz="0"/>
      </w:tblBorders>
    </w:tblPr>
    <w:tblGrid>
      <w:gridCol w:w="9360"/>
    </w:tblGrid>
    <w:tr>
      <w:trPr>
        <w:trHeight w:val="520" w:hRule="atLeast"/>
      </w:trP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60609" w:color="auto" w:val="clear"/>
          <w:tcMar>
            <w:top w:type="dxa" w:w="120"/>
            <w:left w:type="dxa" w:w="180"/>
            <w:bottom w:type="dxa" w:w="120"/>
            <w:right w:type="dxa" w:w="180"/>
          </w:tcMar>
          <w:vAlign w:val="center"/>
        </w:tcPr>
        <w:p>
          <w:pPr>
            <w:tabs>
              <w:tab w:val="right" w:pos="9000"/>
            </w:tabs>
          </w:pPr>
          <w:r>
            <w:rPr>
              <w:rFonts w:ascii="Arial" w:cs="Arial" w:eastAsia="Arial" w:hAnsi="Arial"/>
              <w:b/>
              <w:bCs/>
              <w:color w:val="00D4FF"/>
              <w:sz w:val="28"/>
              <w:szCs w:val="28"/>
            </w:rPr>
            <w:t xml:space="preserve">Jay Moun</w:t>
          </w:r>
          <w:r>
            <w:rPr>
              <w:rFonts w:ascii="Arial" w:cs="Arial" w:eastAsia="Arial" w:hAnsi="Arial"/>
              <w:color w:val="FFFFFF"/>
              <w:sz w:val="20"/>
              <w:szCs w:val="20"/>
            </w:rPr>
            <w:t xml:space="preserve">	NRR Quarterly Dashboard Spec</w:t>
          </w:r>
        </w:p>
      </w:tc>
    </w:tr>
  </w:tbl>
  <w:p>
    <w:r>
      <w:rPr>
        <w:sz w:val="8"/>
        <w:szCs w:val="8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EF4444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color w:val="EF4444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b/>
        <w:bCs/>
        <w:color w:val="EF4444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 w:before="240"/>
    </w:pPr>
    <w:rPr>
      <w:rFonts w:ascii="Arial" w:cs="Arial" w:eastAsia="Arial" w:hAnsi="Arial"/>
      <w:b/>
      <w:bCs/>
      <w:color w:val="0C0C14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C0C1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0C0C1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0C0C1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 Quarterly Dashboard Spec</dc:title>
  <dc:creator>Jay Mount Consulting</dc:creator>
  <dc:description>Net Revenue Retention review — cohort definition, metric stack, cadence, thresholds, account triggers.</dc:description>
  <cp:lastModifiedBy>Un-named</cp:lastModifiedBy>
  <cp:revision>1</cp:revision>
  <dcterms:created xsi:type="dcterms:W3CDTF">2026-04-20T03:32:18.445Z</dcterms:created>
  <dcterms:modified xsi:type="dcterms:W3CDTF">2026-04-20T03:32:18.445Z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